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ShopXO v6.7.1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ShopXO v6.7.1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2AA36BD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插件安装：将插件文件直接放置于系统根目录即可。本插件所有文件，均由互亿无线在系统原生文件基础上做局部修改；若你的系统已进行二次开发，安装前请务必逐一核对插件文件，避免影响系统正常使用。</w:t>
      </w:r>
    </w:p>
    <w:p w14:paraId="4E35F538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bookmarkEnd w:id="0"/>
    </w:p>
    <w:p w14:paraId="0F6E0A8D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使用管理员账号登录系统后台，依次进入【站点】→【短信设置】→【短信设置】页面，填写互亿无线 APIID、APIKEY，短信签名可留空或填写任意字符。</w:t>
      </w:r>
    </w:p>
    <w:p w14:paraId="629791EE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0373AA95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72200" cy="33528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160FF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使用管理员账号登录系统后台，依次进入【系统】→【短信设置】→【消息模板】页面，完成短信模板配置。</w:t>
      </w:r>
      <w:r>
        <w:rPr>
          <w:rFonts w:hint="eastAsia"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</w:rPr>
        <w:t>模板示例：您的验证码：{code}，15分钟内有效，请勿将验证码泄露给他人，如非本人操作请忽略</w:t>
      </w:r>
    </w:p>
    <w:p w14:paraId="0607014E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7FA5F79B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72200" cy="33528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DC589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"https://user.ihuyi.com/new/p.html?c=shopxo671"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https://user.ihuyi.com/new/p.html?c=shopxo671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"https://user.ihuyi.com/new/p.html?c=shopxo671"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https://user.ihuyi.com/new/p.html?c=shopxo671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B775DC"/>
    <w:multiLevelType w:val="singleLevel"/>
    <w:tmpl w:val="E9B775D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0A7E436B"/>
    <w:rsid w:val="0F3550C8"/>
    <w:rsid w:val="1CF35F7A"/>
    <w:rsid w:val="319E3B07"/>
    <w:rsid w:val="348C6893"/>
    <w:rsid w:val="41BF6718"/>
    <w:rsid w:val="47FA6B66"/>
    <w:rsid w:val="62F61313"/>
    <w:rsid w:val="63745B72"/>
    <w:rsid w:val="6FA81A3C"/>
    <w:rsid w:val="78977135"/>
    <w:rsid w:val="7A73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13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2026-02-03T06:59:21Z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